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84B8" w14:textId="4646FBB3" w:rsidR="00AB56AC" w:rsidRDefault="00AB56AC" w:rsidP="00AB56AC">
      <w:pPr>
        <w:contextualSpacing/>
        <w:jc w:val="center"/>
        <w:rPr>
          <w:rFonts w:ascii="Arial" w:hAnsi="Arial" w:cs="Arial"/>
          <w:b/>
          <w:bCs/>
          <w:i/>
          <w:iCs/>
          <w:color w:val="000000"/>
          <w:sz w:val="36"/>
          <w:szCs w:val="36"/>
        </w:rPr>
      </w:pPr>
      <w:r>
        <w:rPr>
          <w:rFonts w:ascii="Arial" w:hAnsi="Arial" w:cs="Arial"/>
          <w:b/>
          <w:bCs/>
          <w:i/>
          <w:iCs/>
          <w:color w:val="000000"/>
          <w:sz w:val="36"/>
          <w:szCs w:val="36"/>
        </w:rPr>
        <w:t>AB 2357 (Ting)</w:t>
      </w:r>
    </w:p>
    <w:p w14:paraId="2FBD50B9" w14:textId="69EBA4CF" w:rsidR="00AB56AC" w:rsidRPr="000208B9" w:rsidRDefault="00AB56AC" w:rsidP="00AB56AC">
      <w:pPr>
        <w:contextualSpacing/>
        <w:jc w:val="center"/>
        <w:rPr>
          <w:rFonts w:ascii="Arial" w:hAnsi="Arial" w:cs="Arial"/>
          <w:b/>
          <w:bCs/>
          <w:i/>
          <w:iCs/>
          <w:color w:val="000000"/>
          <w:sz w:val="36"/>
          <w:szCs w:val="36"/>
        </w:rPr>
      </w:pPr>
      <w:r>
        <w:rPr>
          <w:rFonts w:ascii="Arial" w:hAnsi="Arial" w:cs="Arial"/>
          <w:b/>
          <w:bCs/>
          <w:i/>
          <w:iCs/>
          <w:color w:val="000000"/>
          <w:sz w:val="36"/>
          <w:szCs w:val="36"/>
        </w:rPr>
        <w:t>Sample Oppose Letter</w:t>
      </w:r>
    </w:p>
    <w:p w14:paraId="6EE18E90" w14:textId="77777777" w:rsidR="00AB56AC" w:rsidRDefault="00AB56AC" w:rsidP="00AB56AC">
      <w:pPr>
        <w:contextualSpacing/>
        <w:rPr>
          <w:rFonts w:ascii="Arial" w:hAnsi="Arial" w:cs="Arial"/>
          <w:color w:val="000000"/>
          <w:sz w:val="20"/>
          <w:szCs w:val="20"/>
        </w:rPr>
      </w:pPr>
    </w:p>
    <w:p w14:paraId="5E271BD4" w14:textId="481A3D90" w:rsidR="00AB56AC" w:rsidRPr="00485BD7" w:rsidRDefault="00AB56AC" w:rsidP="00A61B95">
      <w:pPr>
        <w:contextualSpacing/>
        <w:rPr>
          <w:rFonts w:ascii="Arial" w:hAnsi="Arial" w:cs="Arial"/>
          <w:color w:val="000000"/>
          <w:sz w:val="20"/>
          <w:szCs w:val="20"/>
        </w:rPr>
      </w:pPr>
      <w:r w:rsidRPr="00AD4773">
        <w:rPr>
          <w:rFonts w:ascii="Arial" w:hAnsi="Arial" w:cs="Arial"/>
          <w:color w:val="000000"/>
          <w:sz w:val="20"/>
          <w:szCs w:val="20"/>
          <w:highlight w:val="yellow"/>
        </w:rPr>
        <w:t>May</w:t>
      </w:r>
      <w:r w:rsidRPr="00485BD7">
        <w:rPr>
          <w:rFonts w:ascii="Arial" w:hAnsi="Arial" w:cs="Arial"/>
          <w:color w:val="000000"/>
          <w:sz w:val="20"/>
          <w:szCs w:val="20"/>
        </w:rPr>
        <w:t xml:space="preserve"> </w:t>
      </w:r>
      <w:r w:rsidRPr="006979FB">
        <w:rPr>
          <w:rFonts w:ascii="Arial" w:hAnsi="Arial" w:cs="Arial"/>
          <w:color w:val="000000"/>
          <w:sz w:val="20"/>
          <w:szCs w:val="20"/>
          <w:highlight w:val="yellow"/>
        </w:rPr>
        <w:t>XX,</w:t>
      </w:r>
      <w:r w:rsidRPr="00485BD7">
        <w:rPr>
          <w:rFonts w:ascii="Arial" w:hAnsi="Arial" w:cs="Arial"/>
          <w:color w:val="000000"/>
          <w:sz w:val="20"/>
          <w:szCs w:val="20"/>
        </w:rPr>
        <w:t xml:space="preserve"> 202</w:t>
      </w:r>
      <w:r>
        <w:rPr>
          <w:rFonts w:ascii="Arial" w:hAnsi="Arial" w:cs="Arial"/>
          <w:color w:val="000000"/>
          <w:sz w:val="20"/>
          <w:szCs w:val="20"/>
        </w:rPr>
        <w:t>2</w:t>
      </w:r>
    </w:p>
    <w:p w14:paraId="1D63750D" w14:textId="77777777" w:rsidR="00AB56AC" w:rsidRPr="00485BD7" w:rsidRDefault="00AB56AC" w:rsidP="00A61B95">
      <w:pPr>
        <w:contextualSpacing/>
        <w:rPr>
          <w:rFonts w:ascii="Arial" w:hAnsi="Arial" w:cs="Arial"/>
          <w:color w:val="000000"/>
          <w:sz w:val="20"/>
          <w:szCs w:val="20"/>
        </w:rPr>
      </w:pPr>
    </w:p>
    <w:p w14:paraId="7086E4D6" w14:textId="77777777" w:rsidR="00AB56AC" w:rsidRDefault="00AB56AC" w:rsidP="00A61B95">
      <w:pPr>
        <w:autoSpaceDE w:val="0"/>
        <w:autoSpaceDN w:val="0"/>
        <w:adjustRightInd w:val="0"/>
        <w:rPr>
          <w:rFonts w:ascii="Arial" w:hAnsi="Arial" w:cs="Arial"/>
          <w:color w:val="000000"/>
          <w:sz w:val="20"/>
          <w:szCs w:val="20"/>
        </w:rPr>
      </w:pPr>
      <w:r w:rsidRPr="0059287E">
        <w:rPr>
          <w:rFonts w:ascii="Arial" w:hAnsi="Arial" w:cs="Arial"/>
          <w:color w:val="000000"/>
          <w:sz w:val="20"/>
          <w:szCs w:val="20"/>
        </w:rPr>
        <w:t xml:space="preserve">The Honorable </w:t>
      </w:r>
      <w:r>
        <w:rPr>
          <w:rFonts w:ascii="Arial" w:hAnsi="Arial" w:cs="Arial"/>
          <w:color w:val="000000"/>
          <w:sz w:val="20"/>
          <w:szCs w:val="20"/>
        </w:rPr>
        <w:t>Philip Ting</w:t>
      </w:r>
    </w:p>
    <w:p w14:paraId="0205E679" w14:textId="77777777" w:rsidR="00AB56AC" w:rsidRDefault="00AB56AC" w:rsidP="00A61B95">
      <w:pPr>
        <w:autoSpaceDE w:val="0"/>
        <w:autoSpaceDN w:val="0"/>
        <w:adjustRightInd w:val="0"/>
        <w:rPr>
          <w:rFonts w:ascii="Arial" w:hAnsi="Arial" w:cs="Arial"/>
          <w:color w:val="000000"/>
          <w:sz w:val="20"/>
          <w:szCs w:val="20"/>
        </w:rPr>
      </w:pPr>
      <w:r>
        <w:rPr>
          <w:rFonts w:ascii="Arial" w:hAnsi="Arial" w:cs="Arial"/>
          <w:color w:val="000000"/>
          <w:sz w:val="20"/>
          <w:szCs w:val="20"/>
        </w:rPr>
        <w:t>State Capitol, Ste. 8230</w:t>
      </w:r>
    </w:p>
    <w:p w14:paraId="376765D5" w14:textId="77777777" w:rsidR="00AB56AC" w:rsidRPr="0059287E" w:rsidRDefault="00AB56AC" w:rsidP="00A61B95">
      <w:pPr>
        <w:autoSpaceDE w:val="0"/>
        <w:autoSpaceDN w:val="0"/>
        <w:adjustRightInd w:val="0"/>
        <w:rPr>
          <w:rFonts w:ascii="Arial" w:hAnsi="Arial" w:cs="Arial"/>
          <w:color w:val="000000"/>
          <w:sz w:val="20"/>
          <w:szCs w:val="20"/>
        </w:rPr>
      </w:pPr>
      <w:r>
        <w:rPr>
          <w:rFonts w:ascii="Arial" w:hAnsi="Arial" w:cs="Arial"/>
          <w:color w:val="000000"/>
          <w:sz w:val="20"/>
          <w:szCs w:val="20"/>
        </w:rPr>
        <w:t>Sacramento, CA 95814</w:t>
      </w:r>
    </w:p>
    <w:p w14:paraId="14BA66DD" w14:textId="77777777" w:rsidR="00AB56AC" w:rsidRPr="00CE0D41" w:rsidRDefault="00AB56AC" w:rsidP="00A61B95">
      <w:pPr>
        <w:autoSpaceDE w:val="0"/>
        <w:autoSpaceDN w:val="0"/>
        <w:adjustRightInd w:val="0"/>
        <w:rPr>
          <w:rFonts w:ascii="Arial" w:hAnsi="Arial" w:cs="Arial"/>
          <w:color w:val="000000"/>
          <w:sz w:val="20"/>
          <w:szCs w:val="20"/>
        </w:rPr>
      </w:pPr>
    </w:p>
    <w:p w14:paraId="4E08E588" w14:textId="77777777" w:rsidR="00AB56AC" w:rsidRDefault="00AB56AC" w:rsidP="00A61B95">
      <w:pPr>
        <w:autoSpaceDE w:val="0"/>
        <w:autoSpaceDN w:val="0"/>
        <w:adjustRightInd w:val="0"/>
        <w:rPr>
          <w:rFonts w:ascii="Arial" w:hAnsi="Arial" w:cs="Arial"/>
          <w:color w:val="000000"/>
          <w:sz w:val="20"/>
          <w:szCs w:val="20"/>
        </w:rPr>
      </w:pPr>
      <w:r w:rsidRPr="00CE0D41">
        <w:rPr>
          <w:rFonts w:ascii="Arial" w:hAnsi="Arial" w:cs="Arial"/>
          <w:color w:val="000000"/>
          <w:sz w:val="20"/>
          <w:szCs w:val="20"/>
        </w:rPr>
        <w:t xml:space="preserve">Dear </w:t>
      </w:r>
      <w:r>
        <w:rPr>
          <w:rFonts w:ascii="Arial" w:hAnsi="Arial" w:cs="Arial"/>
          <w:color w:val="000000"/>
          <w:sz w:val="20"/>
          <w:szCs w:val="20"/>
        </w:rPr>
        <w:t>Assembly Member Ting:</w:t>
      </w:r>
    </w:p>
    <w:p w14:paraId="273CE6C0" w14:textId="77777777" w:rsidR="00AB56AC" w:rsidRPr="00485BD7" w:rsidRDefault="00AB56AC" w:rsidP="00A61B95">
      <w:pPr>
        <w:contextualSpacing/>
        <w:rPr>
          <w:rFonts w:ascii="Arial" w:hAnsi="Arial" w:cs="Arial"/>
          <w:color w:val="000000"/>
          <w:sz w:val="20"/>
          <w:szCs w:val="20"/>
        </w:rPr>
      </w:pPr>
    </w:p>
    <w:p w14:paraId="64222321" w14:textId="2790240F" w:rsidR="00A61B95" w:rsidRDefault="00AB56AC" w:rsidP="00A61B95">
      <w:pPr>
        <w:rPr>
          <w:rFonts w:ascii="Arial" w:hAnsi="Arial" w:cs="Arial"/>
          <w:sz w:val="20"/>
          <w:szCs w:val="20"/>
        </w:rPr>
      </w:pPr>
      <w:r>
        <w:rPr>
          <w:rFonts w:ascii="Arial" w:hAnsi="Arial" w:cs="Arial"/>
          <w:color w:val="000000"/>
          <w:sz w:val="20"/>
          <w:szCs w:val="20"/>
        </w:rPr>
        <w:t>The (</w:t>
      </w:r>
      <w:r w:rsidRPr="000208B9">
        <w:rPr>
          <w:rFonts w:ascii="Arial" w:hAnsi="Arial" w:cs="Arial"/>
          <w:color w:val="000000"/>
          <w:sz w:val="20"/>
          <w:szCs w:val="20"/>
          <w:highlight w:val="yellow"/>
        </w:rPr>
        <w:t>Name of City/County or name of individual, firm, public entity)</w:t>
      </w:r>
      <w:r>
        <w:rPr>
          <w:rFonts w:ascii="Arial" w:hAnsi="Arial" w:cs="Arial"/>
          <w:color w:val="000000"/>
          <w:sz w:val="20"/>
          <w:szCs w:val="20"/>
        </w:rPr>
        <w:t xml:space="preserve"> regrets that it must </w:t>
      </w:r>
      <w:r w:rsidRPr="00AB56AC">
        <w:rPr>
          <w:rFonts w:ascii="Arial" w:hAnsi="Arial" w:cs="Arial"/>
          <w:b/>
          <w:bCs/>
          <w:color w:val="000000"/>
          <w:sz w:val="20"/>
          <w:szCs w:val="20"/>
        </w:rPr>
        <w:t>Oppose</w:t>
      </w:r>
      <w:r>
        <w:rPr>
          <w:rFonts w:ascii="Arial" w:hAnsi="Arial" w:cs="Arial"/>
          <w:color w:val="000000"/>
          <w:sz w:val="20"/>
          <w:szCs w:val="20"/>
        </w:rPr>
        <w:t xml:space="preserve"> your AB 2357</w:t>
      </w:r>
      <w:r w:rsidR="00A61B95">
        <w:rPr>
          <w:rFonts w:ascii="Arial" w:hAnsi="Arial" w:cs="Arial"/>
          <w:color w:val="000000"/>
          <w:sz w:val="20"/>
          <w:szCs w:val="20"/>
        </w:rPr>
        <w:t xml:space="preserve">, </w:t>
      </w:r>
      <w:r w:rsidR="00866538">
        <w:rPr>
          <w:rFonts w:ascii="Arial" w:hAnsi="Arial" w:cs="Arial"/>
          <w:color w:val="000000"/>
          <w:sz w:val="20"/>
          <w:szCs w:val="20"/>
        </w:rPr>
        <w:t xml:space="preserve">which </w:t>
      </w:r>
      <w:r w:rsidR="00A61B95">
        <w:rPr>
          <w:rFonts w:ascii="Arial" w:hAnsi="Arial" w:cs="Arial"/>
          <w:sz w:val="20"/>
          <w:szCs w:val="20"/>
        </w:rPr>
        <w:t>undermine</w:t>
      </w:r>
      <w:r w:rsidR="00866538">
        <w:rPr>
          <w:rFonts w:ascii="Arial" w:hAnsi="Arial" w:cs="Arial"/>
          <w:sz w:val="20"/>
          <w:szCs w:val="20"/>
        </w:rPr>
        <w:t>s</w:t>
      </w:r>
      <w:r w:rsidR="00A61B95">
        <w:rPr>
          <w:rFonts w:ascii="Arial" w:hAnsi="Arial" w:cs="Arial"/>
          <w:sz w:val="20"/>
          <w:szCs w:val="20"/>
        </w:rPr>
        <w:t xml:space="preserve"> the ability of local agencies to conduct appropriate economic development activities on properties they acquire or otherwise own, by expanding the scope of authority for Department of Housing and Community Development (HCD) to review </w:t>
      </w:r>
      <w:r w:rsidR="00A61B95" w:rsidRPr="006277AD">
        <w:rPr>
          <w:rFonts w:ascii="Arial" w:hAnsi="Arial" w:cs="Arial"/>
          <w:sz w:val="20"/>
          <w:szCs w:val="20"/>
        </w:rPr>
        <w:t>“</w:t>
      </w:r>
      <w:r w:rsidR="00A61B95" w:rsidRPr="006277AD">
        <w:rPr>
          <w:rFonts w:ascii="Arial" w:hAnsi="Arial" w:cs="Arial"/>
          <w:i/>
          <w:iCs/>
          <w:sz w:val="20"/>
          <w:szCs w:val="20"/>
        </w:rPr>
        <w:t>any action to dispose of land,”</w:t>
      </w:r>
      <w:r w:rsidR="00A61B95" w:rsidRPr="006277AD">
        <w:rPr>
          <w:rFonts w:ascii="Arial" w:hAnsi="Arial" w:cs="Arial"/>
          <w:sz w:val="20"/>
          <w:szCs w:val="20"/>
        </w:rPr>
        <w:t xml:space="preserve"> which would include properties retained for agency use, properties declared “exempt surplus</w:t>
      </w:r>
      <w:r w:rsidR="00A61B95">
        <w:rPr>
          <w:rFonts w:ascii="Arial" w:hAnsi="Arial" w:cs="Arial"/>
          <w:sz w:val="20"/>
          <w:szCs w:val="20"/>
        </w:rPr>
        <w:t>,</w:t>
      </w:r>
      <w:r w:rsidR="00A61B95" w:rsidRPr="006277AD">
        <w:rPr>
          <w:rFonts w:ascii="Arial" w:hAnsi="Arial" w:cs="Arial"/>
          <w:sz w:val="20"/>
          <w:szCs w:val="20"/>
        </w:rPr>
        <w:t>”</w:t>
      </w:r>
      <w:r w:rsidR="00A61B95">
        <w:rPr>
          <w:rFonts w:ascii="Arial" w:hAnsi="Arial" w:cs="Arial"/>
          <w:sz w:val="20"/>
          <w:szCs w:val="20"/>
        </w:rPr>
        <w:t xml:space="preserve"> and properties that local agencies are authorized by other laws to acquire and dispose of for economic development purposes.  </w:t>
      </w:r>
    </w:p>
    <w:p w14:paraId="5FC426B1" w14:textId="030D4CF0" w:rsidR="00866538" w:rsidRDefault="00866538" w:rsidP="00A61B95">
      <w:pPr>
        <w:rPr>
          <w:rFonts w:ascii="Arial" w:hAnsi="Arial" w:cs="Arial"/>
          <w:sz w:val="20"/>
          <w:szCs w:val="20"/>
        </w:rPr>
      </w:pPr>
    </w:p>
    <w:p w14:paraId="304D5799" w14:textId="22265C35" w:rsidR="00866538" w:rsidRDefault="00866538" w:rsidP="00A61B95">
      <w:pPr>
        <w:rPr>
          <w:rFonts w:ascii="Arial" w:hAnsi="Arial" w:cs="Arial"/>
          <w:sz w:val="20"/>
          <w:szCs w:val="20"/>
        </w:rPr>
      </w:pPr>
      <w:r>
        <w:rPr>
          <w:rFonts w:ascii="Arial" w:hAnsi="Arial" w:cs="Arial"/>
          <w:sz w:val="20"/>
          <w:szCs w:val="20"/>
        </w:rPr>
        <w:t xml:space="preserve">The implementation of the Surplus Lands Act (SLA), including HCD’s recent guidelines, have created immense delays and difficulties for local government agencies dealing with the control and disposal of their local properties.  Regrettably, AB 2357 would compound those difficulties by expanding state reviews and delays affecting properties retained for agency use and declared exempt surplus.   </w:t>
      </w:r>
    </w:p>
    <w:p w14:paraId="135CA47E" w14:textId="77777777" w:rsidR="00AB56AC" w:rsidRDefault="00AB56AC" w:rsidP="00A61B95">
      <w:pPr>
        <w:rPr>
          <w:rFonts w:ascii="Arial" w:hAnsi="Arial" w:cs="Arial"/>
          <w:sz w:val="20"/>
          <w:szCs w:val="20"/>
        </w:rPr>
      </w:pPr>
    </w:p>
    <w:p w14:paraId="641F334A" w14:textId="7BCDF96D" w:rsidR="00AB56AC" w:rsidRDefault="00AB56AC" w:rsidP="00A61B95">
      <w:pPr>
        <w:rPr>
          <w:rFonts w:ascii="Arial" w:hAnsi="Arial" w:cs="Arial"/>
          <w:i/>
          <w:iCs/>
          <w:sz w:val="20"/>
          <w:szCs w:val="20"/>
        </w:rPr>
      </w:pPr>
      <w:r>
        <w:rPr>
          <w:rFonts w:ascii="Arial" w:hAnsi="Arial" w:cs="Arial"/>
          <w:i/>
          <w:iCs/>
          <w:sz w:val="20"/>
          <w:szCs w:val="20"/>
          <w:highlight w:val="yellow"/>
        </w:rPr>
        <w:t xml:space="preserve">Additional </w:t>
      </w:r>
      <w:r w:rsidR="00AD4773">
        <w:rPr>
          <w:rFonts w:ascii="Arial" w:hAnsi="Arial" w:cs="Arial"/>
          <w:i/>
          <w:iCs/>
          <w:sz w:val="20"/>
          <w:szCs w:val="20"/>
          <w:highlight w:val="yellow"/>
        </w:rPr>
        <w:t>R</w:t>
      </w:r>
      <w:r>
        <w:rPr>
          <w:rFonts w:ascii="Arial" w:hAnsi="Arial" w:cs="Arial"/>
          <w:i/>
          <w:iCs/>
          <w:sz w:val="20"/>
          <w:szCs w:val="20"/>
          <w:highlight w:val="yellow"/>
        </w:rPr>
        <w:t xml:space="preserve">easons for </w:t>
      </w:r>
      <w:r w:rsidR="00876521">
        <w:rPr>
          <w:rFonts w:ascii="Arial" w:hAnsi="Arial" w:cs="Arial"/>
          <w:i/>
          <w:iCs/>
          <w:sz w:val="20"/>
          <w:szCs w:val="20"/>
          <w:highlight w:val="yellow"/>
        </w:rPr>
        <w:t>Opposition</w:t>
      </w:r>
      <w:r>
        <w:rPr>
          <w:rFonts w:ascii="Arial" w:hAnsi="Arial" w:cs="Arial"/>
          <w:i/>
          <w:iCs/>
          <w:sz w:val="20"/>
          <w:szCs w:val="20"/>
          <w:highlight w:val="yellow"/>
        </w:rPr>
        <w:t xml:space="preserve">:  </w:t>
      </w:r>
      <w:r w:rsidR="00876521">
        <w:rPr>
          <w:rFonts w:ascii="Arial" w:hAnsi="Arial" w:cs="Arial"/>
          <w:i/>
          <w:iCs/>
          <w:sz w:val="20"/>
          <w:szCs w:val="20"/>
          <w:highlight w:val="yellow"/>
        </w:rPr>
        <w:t>Are there recent examples of where HCD’s review</w:t>
      </w:r>
      <w:r w:rsidR="00AD4773">
        <w:rPr>
          <w:rFonts w:ascii="Arial" w:hAnsi="Arial" w:cs="Arial"/>
          <w:i/>
          <w:iCs/>
          <w:sz w:val="20"/>
          <w:szCs w:val="20"/>
          <w:highlight w:val="yellow"/>
        </w:rPr>
        <w:t xml:space="preserve"> under the SLA</w:t>
      </w:r>
      <w:r w:rsidR="00876521">
        <w:rPr>
          <w:rFonts w:ascii="Arial" w:hAnsi="Arial" w:cs="Arial"/>
          <w:i/>
          <w:iCs/>
          <w:sz w:val="20"/>
          <w:szCs w:val="20"/>
          <w:highlight w:val="yellow"/>
        </w:rPr>
        <w:t xml:space="preserve"> stalled a worthwhile project in your community? </w:t>
      </w:r>
    </w:p>
    <w:p w14:paraId="6D005739" w14:textId="411F2024" w:rsidR="00876521" w:rsidRDefault="00876521" w:rsidP="00E64046">
      <w:pPr>
        <w:rPr>
          <w:rFonts w:ascii="Arial" w:hAnsi="Arial" w:cs="Arial"/>
          <w:i/>
          <w:iCs/>
          <w:sz w:val="20"/>
          <w:szCs w:val="20"/>
        </w:rPr>
      </w:pPr>
    </w:p>
    <w:p w14:paraId="20F53BFA" w14:textId="77777777" w:rsidR="00876521" w:rsidRDefault="00876521" w:rsidP="00E64046">
      <w:pPr>
        <w:contextualSpacing/>
        <w:rPr>
          <w:rFonts w:ascii="Arial" w:hAnsi="Arial" w:cs="Arial"/>
          <w:color w:val="000000"/>
          <w:sz w:val="20"/>
          <w:szCs w:val="20"/>
        </w:rPr>
      </w:pPr>
      <w:r>
        <w:rPr>
          <w:rFonts w:ascii="Arial" w:hAnsi="Arial" w:cs="Arial"/>
          <w:color w:val="000000"/>
          <w:sz w:val="20"/>
          <w:szCs w:val="20"/>
        </w:rPr>
        <w:t>Rather than expanding the scope of the SLA in this form, the Legislature should hold special hearings to more thoroughly and properly evaluate the difficulties, bureaucratic delays and unintended consequences caused by implementation of the existing law on local agency activities, including addressing unresolved conflicts with other laws and state policy priorities the Legislature has enacted that affect the disposal of local agency property.</w:t>
      </w:r>
    </w:p>
    <w:p w14:paraId="1BFF7C98" w14:textId="77777777" w:rsidR="00AB56AC" w:rsidRDefault="00AB56AC" w:rsidP="00A61B95">
      <w:pPr>
        <w:rPr>
          <w:rFonts w:ascii="Arial" w:hAnsi="Arial" w:cs="Arial"/>
          <w:sz w:val="20"/>
          <w:szCs w:val="20"/>
        </w:rPr>
      </w:pPr>
    </w:p>
    <w:p w14:paraId="335B9D79" w14:textId="26B04EE8" w:rsidR="00AB56AC" w:rsidRPr="00876521" w:rsidRDefault="00876521" w:rsidP="00876521">
      <w:pPr>
        <w:contextualSpacing/>
        <w:rPr>
          <w:rFonts w:ascii="Arial" w:hAnsi="Arial" w:cs="Arial"/>
          <w:color w:val="000000"/>
          <w:sz w:val="20"/>
          <w:szCs w:val="20"/>
        </w:rPr>
      </w:pPr>
      <w:r>
        <w:rPr>
          <w:rFonts w:ascii="Arial" w:hAnsi="Arial" w:cs="Arial"/>
          <w:color w:val="000000"/>
          <w:sz w:val="20"/>
          <w:szCs w:val="20"/>
        </w:rPr>
        <w:t>For these reasons, (</w:t>
      </w:r>
      <w:r w:rsidRPr="000208B9">
        <w:rPr>
          <w:rFonts w:ascii="Arial" w:hAnsi="Arial" w:cs="Arial"/>
          <w:color w:val="000000"/>
          <w:sz w:val="20"/>
          <w:szCs w:val="20"/>
          <w:highlight w:val="yellow"/>
        </w:rPr>
        <w:t>Name of City/County or name of individual, firm, public entity)</w:t>
      </w:r>
      <w:r>
        <w:rPr>
          <w:rFonts w:ascii="Arial" w:hAnsi="Arial" w:cs="Arial"/>
          <w:color w:val="000000"/>
          <w:sz w:val="20"/>
          <w:szCs w:val="20"/>
        </w:rPr>
        <w:t xml:space="preserve"> regrets that it must respectfully </w:t>
      </w:r>
      <w:r w:rsidRPr="00DA61EA">
        <w:rPr>
          <w:rFonts w:ascii="Arial" w:hAnsi="Arial" w:cs="Arial"/>
          <w:b/>
          <w:bCs/>
          <w:color w:val="000000"/>
          <w:sz w:val="20"/>
          <w:szCs w:val="20"/>
        </w:rPr>
        <w:t>Oppose</w:t>
      </w:r>
      <w:r>
        <w:rPr>
          <w:rFonts w:ascii="Arial" w:hAnsi="Arial" w:cs="Arial"/>
          <w:color w:val="000000"/>
          <w:sz w:val="20"/>
          <w:szCs w:val="20"/>
        </w:rPr>
        <w:t xml:space="preserve"> AB 2357.  </w:t>
      </w:r>
      <w:r w:rsidR="00AB56AC" w:rsidRPr="00485BD7">
        <w:rPr>
          <w:rFonts w:ascii="Arial" w:hAnsi="Arial" w:cs="Arial"/>
          <w:color w:val="000000"/>
          <w:sz w:val="20"/>
          <w:szCs w:val="20"/>
        </w:rPr>
        <w:t xml:space="preserve">Please feel free to contact me at </w:t>
      </w:r>
      <w:r w:rsidR="00AB56AC" w:rsidRPr="000208B9">
        <w:rPr>
          <w:rFonts w:ascii="Arial" w:hAnsi="Arial" w:cs="Arial"/>
          <w:color w:val="000000"/>
          <w:sz w:val="20"/>
          <w:szCs w:val="20"/>
          <w:highlight w:val="yellow"/>
        </w:rPr>
        <w:t>(XXX) 000-0000, or Email,</w:t>
      </w:r>
      <w:r w:rsidR="00AB56AC">
        <w:rPr>
          <w:rFonts w:ascii="Arial" w:hAnsi="Arial" w:cs="Arial"/>
          <w:color w:val="000000"/>
          <w:sz w:val="20"/>
          <w:szCs w:val="20"/>
        </w:rPr>
        <w:t xml:space="preserve"> whenever needed.</w:t>
      </w:r>
    </w:p>
    <w:p w14:paraId="5CB50505" w14:textId="77777777" w:rsidR="00AB56AC" w:rsidRPr="00485BD7" w:rsidRDefault="00AB56AC" w:rsidP="00A61B95">
      <w:pPr>
        <w:contextualSpacing/>
        <w:rPr>
          <w:rFonts w:ascii="Arial" w:hAnsi="Arial" w:cs="Arial"/>
          <w:color w:val="000000"/>
          <w:sz w:val="20"/>
          <w:szCs w:val="20"/>
        </w:rPr>
      </w:pPr>
    </w:p>
    <w:p w14:paraId="278E7765" w14:textId="77777777" w:rsidR="00AB56AC" w:rsidRDefault="00AB56AC" w:rsidP="00A61B95">
      <w:pPr>
        <w:contextualSpacing/>
        <w:rPr>
          <w:rFonts w:ascii="Arial" w:hAnsi="Arial" w:cs="Arial"/>
          <w:color w:val="000000"/>
          <w:sz w:val="20"/>
          <w:szCs w:val="20"/>
        </w:rPr>
      </w:pPr>
    </w:p>
    <w:p w14:paraId="1F872AB8" w14:textId="77777777" w:rsidR="00AB56AC" w:rsidRPr="00485BD7" w:rsidRDefault="00AB56AC" w:rsidP="00A61B95">
      <w:pPr>
        <w:contextualSpacing/>
        <w:rPr>
          <w:rFonts w:ascii="Arial" w:hAnsi="Arial" w:cs="Arial"/>
          <w:color w:val="000000"/>
          <w:sz w:val="20"/>
          <w:szCs w:val="20"/>
        </w:rPr>
      </w:pPr>
      <w:r w:rsidRPr="00485BD7">
        <w:rPr>
          <w:rFonts w:ascii="Arial" w:hAnsi="Arial" w:cs="Arial"/>
          <w:color w:val="000000"/>
          <w:sz w:val="20"/>
          <w:szCs w:val="20"/>
        </w:rPr>
        <w:t>Sincerely,</w:t>
      </w:r>
    </w:p>
    <w:p w14:paraId="1F7EA432" w14:textId="77777777" w:rsidR="00AB56AC" w:rsidRPr="00485BD7" w:rsidRDefault="00AB56AC" w:rsidP="00A61B95">
      <w:pPr>
        <w:contextualSpacing/>
        <w:rPr>
          <w:rFonts w:ascii="Arial" w:hAnsi="Arial" w:cs="Arial"/>
          <w:color w:val="000000"/>
          <w:sz w:val="20"/>
          <w:szCs w:val="20"/>
        </w:rPr>
      </w:pPr>
    </w:p>
    <w:p w14:paraId="586DD35A" w14:textId="77777777" w:rsidR="00AB56AC" w:rsidRPr="00485BD7" w:rsidRDefault="00AB56AC" w:rsidP="00A61B95">
      <w:pPr>
        <w:contextualSpacing/>
        <w:rPr>
          <w:rFonts w:ascii="Arial" w:hAnsi="Arial" w:cs="Arial"/>
          <w:color w:val="000000"/>
          <w:sz w:val="20"/>
          <w:szCs w:val="20"/>
        </w:rPr>
      </w:pPr>
    </w:p>
    <w:p w14:paraId="0851FE96" w14:textId="77777777" w:rsidR="00AB56AC" w:rsidRPr="000208B9" w:rsidRDefault="00AB56AC" w:rsidP="00A61B95">
      <w:pPr>
        <w:contextualSpacing/>
        <w:rPr>
          <w:rFonts w:ascii="Arial" w:hAnsi="Arial" w:cs="Arial"/>
          <w:color w:val="000000"/>
          <w:sz w:val="20"/>
          <w:szCs w:val="20"/>
          <w:highlight w:val="yellow"/>
        </w:rPr>
      </w:pPr>
      <w:r w:rsidRPr="000208B9">
        <w:rPr>
          <w:rFonts w:ascii="Arial" w:hAnsi="Arial" w:cs="Arial"/>
          <w:color w:val="000000"/>
          <w:sz w:val="20"/>
          <w:szCs w:val="20"/>
          <w:highlight w:val="yellow"/>
        </w:rPr>
        <w:t>Name</w:t>
      </w:r>
    </w:p>
    <w:p w14:paraId="4CA080A1" w14:textId="77777777" w:rsidR="00AB56AC" w:rsidRDefault="00AB56AC" w:rsidP="00A61B95">
      <w:pPr>
        <w:contextualSpacing/>
        <w:rPr>
          <w:rFonts w:ascii="Arial" w:hAnsi="Arial" w:cs="Arial"/>
          <w:color w:val="000000"/>
          <w:sz w:val="20"/>
          <w:szCs w:val="20"/>
        </w:rPr>
      </w:pPr>
      <w:r w:rsidRPr="000208B9">
        <w:rPr>
          <w:rFonts w:ascii="Arial" w:hAnsi="Arial" w:cs="Arial"/>
          <w:color w:val="000000"/>
          <w:sz w:val="20"/>
          <w:szCs w:val="20"/>
          <w:highlight w:val="yellow"/>
        </w:rPr>
        <w:t>Title</w:t>
      </w:r>
    </w:p>
    <w:p w14:paraId="44738CE9" w14:textId="77777777" w:rsidR="00AB56AC" w:rsidRDefault="00AB56AC" w:rsidP="00A61B95">
      <w:pPr>
        <w:contextualSpacing/>
        <w:rPr>
          <w:rFonts w:ascii="Arial" w:hAnsi="Arial" w:cs="Arial"/>
          <w:color w:val="000000"/>
          <w:sz w:val="20"/>
          <w:szCs w:val="20"/>
        </w:rPr>
      </w:pPr>
    </w:p>
    <w:p w14:paraId="1FF19A1E" w14:textId="6BB10896" w:rsidR="00AB56AC" w:rsidRDefault="00AB56AC" w:rsidP="00A61B95">
      <w:pPr>
        <w:contextualSpacing/>
        <w:rPr>
          <w:rFonts w:ascii="Arial" w:hAnsi="Arial" w:cs="Arial"/>
          <w:color w:val="000000"/>
          <w:sz w:val="20"/>
          <w:szCs w:val="20"/>
        </w:rPr>
      </w:pPr>
      <w:r>
        <w:rPr>
          <w:rFonts w:ascii="Arial" w:hAnsi="Arial" w:cs="Arial"/>
          <w:color w:val="000000"/>
          <w:sz w:val="20"/>
          <w:szCs w:val="20"/>
        </w:rPr>
        <w:t xml:space="preserve">Cc: </w:t>
      </w:r>
      <w:r w:rsidR="00353203">
        <w:rPr>
          <w:rFonts w:ascii="Arial" w:hAnsi="Arial" w:cs="Arial"/>
          <w:color w:val="000000"/>
          <w:sz w:val="20"/>
          <w:szCs w:val="20"/>
        </w:rPr>
        <w:t xml:space="preserve"> </w:t>
      </w:r>
      <w:r>
        <w:rPr>
          <w:rFonts w:ascii="Arial" w:hAnsi="Arial" w:cs="Arial"/>
          <w:color w:val="000000"/>
          <w:sz w:val="20"/>
          <w:szCs w:val="20"/>
        </w:rPr>
        <w:t xml:space="preserve">Senator </w:t>
      </w:r>
      <w:r w:rsidR="00876521">
        <w:rPr>
          <w:rFonts w:ascii="Arial" w:hAnsi="Arial" w:cs="Arial"/>
          <w:color w:val="000000"/>
          <w:sz w:val="20"/>
          <w:szCs w:val="20"/>
        </w:rPr>
        <w:t>Anna Caballero,</w:t>
      </w:r>
      <w:r>
        <w:rPr>
          <w:rFonts w:ascii="Arial" w:hAnsi="Arial" w:cs="Arial"/>
          <w:color w:val="000000"/>
          <w:sz w:val="20"/>
          <w:szCs w:val="20"/>
        </w:rPr>
        <w:t xml:space="preserve"> Chair, Senate Committee on Governance and Finance</w:t>
      </w:r>
    </w:p>
    <w:p w14:paraId="12B231B7" w14:textId="77777777" w:rsidR="00AB56AC" w:rsidRDefault="00AB56AC" w:rsidP="00A61B95">
      <w:pPr>
        <w:contextualSpacing/>
        <w:rPr>
          <w:rFonts w:ascii="Arial" w:hAnsi="Arial" w:cs="Arial"/>
          <w:color w:val="000000"/>
          <w:sz w:val="20"/>
          <w:szCs w:val="20"/>
        </w:rPr>
      </w:pPr>
      <w:r>
        <w:rPr>
          <w:rFonts w:ascii="Arial" w:hAnsi="Arial" w:cs="Arial"/>
          <w:color w:val="000000"/>
          <w:sz w:val="20"/>
          <w:szCs w:val="20"/>
        </w:rPr>
        <w:t xml:space="preserve">       Senator Scott Wiener, Chair, Senate Committee on Housing</w:t>
      </w:r>
    </w:p>
    <w:p w14:paraId="5929F187" w14:textId="77777777" w:rsidR="00AB56AC" w:rsidRDefault="00AB56AC" w:rsidP="00A61B95">
      <w:pPr>
        <w:contextualSpacing/>
        <w:rPr>
          <w:rFonts w:ascii="Arial" w:hAnsi="Arial" w:cs="Arial"/>
          <w:color w:val="000000"/>
          <w:sz w:val="20"/>
          <w:szCs w:val="20"/>
        </w:rPr>
      </w:pPr>
      <w:r>
        <w:rPr>
          <w:rFonts w:ascii="Arial" w:hAnsi="Arial" w:cs="Arial"/>
          <w:color w:val="000000"/>
          <w:sz w:val="20"/>
          <w:szCs w:val="20"/>
        </w:rPr>
        <w:t xml:space="preserve">       Members, Senate Committee on Governance and Finance </w:t>
      </w:r>
    </w:p>
    <w:p w14:paraId="39239CCA" w14:textId="342FBC15" w:rsidR="00AB56AC" w:rsidRDefault="00AB56AC" w:rsidP="00A61B95">
      <w:pPr>
        <w:contextualSpacing/>
        <w:rPr>
          <w:rFonts w:ascii="Arial" w:hAnsi="Arial" w:cs="Arial"/>
          <w:color w:val="000000"/>
          <w:sz w:val="20"/>
          <w:szCs w:val="20"/>
        </w:rPr>
      </w:pPr>
      <w:r>
        <w:rPr>
          <w:rFonts w:ascii="Arial" w:hAnsi="Arial" w:cs="Arial"/>
          <w:color w:val="000000"/>
          <w:sz w:val="20"/>
          <w:szCs w:val="20"/>
        </w:rPr>
        <w:t xml:space="preserve">       Members, Senate Committee on Housing</w:t>
      </w:r>
    </w:p>
    <w:p w14:paraId="264F476C" w14:textId="51D2323A" w:rsidR="00A602EF" w:rsidRDefault="00A602EF" w:rsidP="00A61B95">
      <w:pPr>
        <w:contextualSpacing/>
        <w:rPr>
          <w:rFonts w:ascii="Arial" w:hAnsi="Arial" w:cs="Arial"/>
          <w:color w:val="000000"/>
          <w:sz w:val="20"/>
          <w:szCs w:val="20"/>
        </w:rPr>
      </w:pPr>
      <w:r>
        <w:rPr>
          <w:rFonts w:ascii="Arial" w:hAnsi="Arial" w:cs="Arial"/>
          <w:color w:val="000000"/>
          <w:sz w:val="20"/>
          <w:szCs w:val="20"/>
        </w:rPr>
        <w:t xml:space="preserve">       Gurbax Sahota, Chief Executive Officer, California Association for Local Economic Development</w:t>
      </w:r>
    </w:p>
    <w:p w14:paraId="2642B592" w14:textId="6CC091A0" w:rsidR="00AB56AC" w:rsidRDefault="00A602EF" w:rsidP="00A61B95">
      <w:pPr>
        <w:contextualSpacing/>
        <w:rPr>
          <w:rFonts w:ascii="Arial" w:hAnsi="Arial" w:cs="Arial"/>
          <w:color w:val="000000"/>
          <w:sz w:val="20"/>
          <w:szCs w:val="20"/>
        </w:rPr>
      </w:pPr>
      <w:r>
        <w:rPr>
          <w:rFonts w:ascii="Arial" w:hAnsi="Arial" w:cs="Arial"/>
          <w:color w:val="000000"/>
          <w:sz w:val="20"/>
          <w:szCs w:val="20"/>
        </w:rPr>
        <w:t xml:space="preserve">       </w:t>
      </w:r>
    </w:p>
    <w:p w14:paraId="683C60C0" w14:textId="63130C02" w:rsidR="00AB56AC" w:rsidRPr="00D72F9F" w:rsidRDefault="00AB56AC" w:rsidP="00A61B95">
      <w:pPr>
        <w:spacing w:before="150" w:after="150"/>
        <w:outlineLvl w:val="4"/>
        <w:rPr>
          <w:rFonts w:ascii="Arial" w:hAnsi="Arial" w:cs="Arial"/>
          <w:color w:val="333333"/>
          <w:sz w:val="21"/>
          <w:szCs w:val="21"/>
        </w:rPr>
      </w:pPr>
      <w:r w:rsidRPr="00D72F9F">
        <w:rPr>
          <w:rFonts w:ascii="Arial" w:hAnsi="Arial" w:cs="Arial"/>
          <w:b/>
          <w:bCs/>
          <w:color w:val="333333"/>
          <w:sz w:val="24"/>
          <w:szCs w:val="24"/>
          <w:highlight w:val="yellow"/>
        </w:rPr>
        <w:t xml:space="preserve">Submit Letter Using </w:t>
      </w:r>
      <w:r w:rsidR="00AD4773">
        <w:rPr>
          <w:rFonts w:ascii="Arial" w:hAnsi="Arial" w:cs="Arial"/>
          <w:b/>
          <w:bCs/>
          <w:color w:val="333333"/>
          <w:sz w:val="24"/>
          <w:szCs w:val="24"/>
          <w:highlight w:val="yellow"/>
        </w:rPr>
        <w:t xml:space="preserve">Legislative </w:t>
      </w:r>
      <w:r w:rsidRPr="00D72F9F">
        <w:rPr>
          <w:rFonts w:ascii="Arial" w:hAnsi="Arial" w:cs="Arial"/>
          <w:b/>
          <w:bCs/>
          <w:color w:val="333333"/>
          <w:sz w:val="24"/>
          <w:szCs w:val="24"/>
          <w:highlight w:val="yellow"/>
        </w:rPr>
        <w:t>Portal</w:t>
      </w:r>
      <w:r w:rsidRPr="00D72F9F">
        <w:rPr>
          <w:rFonts w:ascii="Arial" w:hAnsi="Arial" w:cs="Arial"/>
          <w:b/>
          <w:bCs/>
          <w:i/>
          <w:iCs/>
          <w:color w:val="333333"/>
          <w:sz w:val="21"/>
          <w:szCs w:val="21"/>
        </w:rPr>
        <w:br/>
        <w:t>For information on how to submit a position letter please see the directions below:</w:t>
      </w:r>
    </w:p>
    <w:p w14:paraId="6F58A739" w14:textId="77777777" w:rsidR="00AB56AC" w:rsidRPr="00D72F9F" w:rsidRDefault="00C36754" w:rsidP="00A61B95">
      <w:pPr>
        <w:spacing w:after="150"/>
        <w:rPr>
          <w:rFonts w:ascii="Arial" w:hAnsi="Arial" w:cs="Arial"/>
          <w:color w:val="333333"/>
          <w:sz w:val="24"/>
          <w:szCs w:val="24"/>
        </w:rPr>
      </w:pPr>
      <w:hyperlink r:id="rId4" w:history="1">
        <w:r w:rsidR="00AB56AC" w:rsidRPr="00D72F9F">
          <w:rPr>
            <w:rFonts w:ascii="Arial" w:hAnsi="Arial" w:cs="Arial"/>
            <w:color w:val="A30C1F"/>
            <w:sz w:val="24"/>
            <w:szCs w:val="24"/>
            <w:u w:val="single"/>
          </w:rPr>
          <w:t>Advocacy Quick Reference Guide</w:t>
        </w:r>
      </w:hyperlink>
    </w:p>
    <w:p w14:paraId="3714311D" w14:textId="77777777" w:rsidR="00AB56AC" w:rsidRPr="00D72F9F" w:rsidRDefault="00AB56AC" w:rsidP="00A61B95">
      <w:pPr>
        <w:spacing w:after="150"/>
        <w:rPr>
          <w:rFonts w:ascii="Arial" w:hAnsi="Arial" w:cs="Arial"/>
          <w:color w:val="333333"/>
          <w:sz w:val="24"/>
          <w:szCs w:val="24"/>
        </w:rPr>
      </w:pPr>
      <w:r w:rsidRPr="00D72F9F">
        <w:rPr>
          <w:rFonts w:ascii="Arial" w:hAnsi="Arial" w:cs="Arial"/>
          <w:noProof/>
          <w:color w:val="A30C1F"/>
          <w:sz w:val="24"/>
          <w:szCs w:val="24"/>
        </w:rPr>
        <w:drawing>
          <wp:inline distT="0" distB="0" distL="0" distR="0" wp14:anchorId="1CAD05AC" wp14:editId="34BF4CAF">
            <wp:extent cx="3070860" cy="594995"/>
            <wp:effectExtent l="0" t="0" r="2540" b="1905"/>
            <wp:docPr id="1" name="Picture 1" descr="Submit Position Let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mit Position Lett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0860" cy="594995"/>
                    </a:xfrm>
                    <a:prstGeom prst="rect">
                      <a:avLst/>
                    </a:prstGeom>
                    <a:noFill/>
                    <a:ln>
                      <a:noFill/>
                    </a:ln>
                  </pic:spPr>
                </pic:pic>
              </a:graphicData>
            </a:graphic>
          </wp:inline>
        </w:drawing>
      </w:r>
    </w:p>
    <w:p w14:paraId="2FF43839" w14:textId="77777777" w:rsidR="00C16873" w:rsidRDefault="00C16873" w:rsidP="00A61B95">
      <w:pPr>
        <w:pStyle w:val="Default"/>
        <w:rPr>
          <w:rFonts w:ascii="Arial" w:hAnsi="Arial" w:cs="Arial"/>
          <w:sz w:val="20"/>
          <w:szCs w:val="20"/>
        </w:rPr>
      </w:pPr>
    </w:p>
    <w:p w14:paraId="5E879E29" w14:textId="77777777" w:rsidR="000A6536" w:rsidRDefault="00C36754"/>
    <w:sectPr w:rsidR="000A6536" w:rsidSect="00F65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73"/>
    <w:rsid w:val="00263075"/>
    <w:rsid w:val="00353203"/>
    <w:rsid w:val="00416A6D"/>
    <w:rsid w:val="00866538"/>
    <w:rsid w:val="00876521"/>
    <w:rsid w:val="00A602EF"/>
    <w:rsid w:val="00A61B95"/>
    <w:rsid w:val="00AB56AC"/>
    <w:rsid w:val="00AD4773"/>
    <w:rsid w:val="00C16873"/>
    <w:rsid w:val="00C36754"/>
    <w:rsid w:val="00E64046"/>
    <w:rsid w:val="00F6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186E8"/>
  <w15:chartTrackingRefBased/>
  <w15:docId w15:val="{8413F5BA-7629-9642-9E21-50B20825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16873"/>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873"/>
    <w:pPr>
      <w:autoSpaceDE w:val="0"/>
      <w:autoSpaceDN w:val="0"/>
      <w:adjustRightInd w:val="0"/>
    </w:pPr>
    <w:rPr>
      <w:rFonts w:ascii="Calibri" w:eastAsia="Calibri" w:hAnsi="Calibri" w:cs="Calibri"/>
      <w:color w:val="000000"/>
    </w:rPr>
  </w:style>
  <w:style w:type="paragraph" w:styleId="ListParagraph">
    <w:name w:val="List Paragraph"/>
    <w:basedOn w:val="Normal"/>
    <w:uiPriority w:val="34"/>
    <w:qFormat/>
    <w:rsid w:val="00C16873"/>
    <w:pPr>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calegislation.lc.ca.gov/Advocates/" TargetMode="External"/><Relationship Id="rId4" Type="http://schemas.openxmlformats.org/officeDocument/2006/relationships/hyperlink" Target="https://www.senate.ca.gov/sites/senate.ca.gov/files/2019_quick_ref_guide_advoca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Daniel Carrigg Consulting</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Carrigg</dc:creator>
  <cp:keywords/>
  <dc:description/>
  <cp:lastModifiedBy>Gurbax Sahota</cp:lastModifiedBy>
  <cp:revision>2</cp:revision>
  <dcterms:created xsi:type="dcterms:W3CDTF">2022-05-18T17:04:00Z</dcterms:created>
  <dcterms:modified xsi:type="dcterms:W3CDTF">2022-05-18T17:04:00Z</dcterms:modified>
</cp:coreProperties>
</file>